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114300" distT="114300" distL="114300" distR="114300" hidden="0" layoutInCell="1" locked="0" relativeHeight="0" simplePos="0">
            <wp:simplePos x="0" y="0"/>
            <wp:positionH relativeFrom="page">
              <wp:posOffset>2898938</wp:posOffset>
            </wp:positionH>
            <wp:positionV relativeFrom="page">
              <wp:posOffset>333375</wp:posOffset>
            </wp:positionV>
            <wp:extent cx="1563525" cy="980372"/>
            <wp:effectExtent b="0" l="0" r="0" t="0"/>
            <wp:wrapTopAndBottom distB="114300" distT="11430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3525" cy="980372"/>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El impacto del Tren Interurbano en el negocio inmobiliario de Toluca</w:t>
      </w:r>
    </w:p>
    <w:p w:rsidR="00000000" w:rsidDel="00000000" w:rsidP="00000000" w:rsidRDefault="00000000" w:rsidRPr="00000000" w14:paraId="00000002">
      <w:pPr>
        <w:spacing w:after="0" w:before="0" w:lineRule="auto"/>
        <w:ind w:left="708" w:firstLine="0"/>
        <w:jc w:val="center"/>
        <w:rPr>
          <w:rFonts w:ascii="Calibri" w:cs="Calibri" w:eastAsia="Calibri" w:hAnsi="Calibri"/>
          <w:b w:val="1"/>
          <w:i w:val="0"/>
          <w:strike w:val="0"/>
          <w:color w:val="000000"/>
          <w:sz w:val="16"/>
          <w:szCs w:val="16"/>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búsqueda en línea de inmuebles en zonas aledañas al trayecto del Tren Interurbano México-Toluca en octubre se enfocó en las colonias: San Mateo Otzacatipan, Valle Don Camilo, San Pedro Totoltepec.</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 rango de precios en venta para estas colonias va desde los 225 mil pesos hasta los 12.5 millones de pe</w:t>
      </w:r>
      <w:r w:rsidDel="00000000" w:rsidR="00000000" w:rsidRPr="00000000">
        <w:rPr>
          <w:i w:val="1"/>
          <w:rtl w:val="0"/>
        </w:rPr>
        <w:t xml:space="preserve">sos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mientras que en renta el mínimo es 5 mil pesos y el máximo es de </w:t>
      </w:r>
      <w:r w:rsidDel="00000000" w:rsidR="00000000" w:rsidRPr="00000000">
        <w:rPr>
          <w:i w:val="1"/>
          <w:rtl w:val="0"/>
        </w:rPr>
        <w:t xml:space="preserve">3</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9 mil</w:t>
      </w:r>
      <w:r w:rsidDel="00000000" w:rsidR="00000000" w:rsidRPr="00000000">
        <w:rPr>
          <w:i w:val="1"/>
          <w:rtl w:val="0"/>
        </w:rPr>
        <w:t xml:space="preserve"> pesos.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2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8</w:t>
      </w:r>
      <w:r w:rsidDel="00000000" w:rsidR="00000000" w:rsidRPr="00000000">
        <w:rPr>
          <w:rFonts w:ascii="Calibri" w:cs="Calibri" w:eastAsia="Calibri" w:hAnsi="Calibri"/>
          <w:b w:val="1"/>
          <w:i w:val="0"/>
          <w:strike w:val="0"/>
          <w:color w:val="000000"/>
          <w:sz w:val="22"/>
          <w:szCs w:val="22"/>
          <w:u w:val="none"/>
          <w:rtl w:val="0"/>
        </w:rPr>
        <w:t xml:space="preserve"> de noviembre de 2024.-</w:t>
      </w:r>
      <w:r w:rsidDel="00000000" w:rsidR="00000000" w:rsidRPr="00000000">
        <w:rPr>
          <w:rFonts w:ascii="Calibri" w:cs="Calibri" w:eastAsia="Calibri" w:hAnsi="Calibri"/>
          <w:b w:val="0"/>
          <w:i w:val="0"/>
          <w:strike w:val="0"/>
          <w:color w:val="000000"/>
          <w:sz w:val="22"/>
          <w:szCs w:val="22"/>
          <w:u w:val="none"/>
          <w:rtl w:val="0"/>
        </w:rPr>
        <w:t xml:space="preserve"> La reciente inauguración del Tren</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Interurbano México-Toluca</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marcó un nuevo capítulo en la conectividad entre la capital mexiquense y la Ciudad de México. En ese sentido, el transporte también conocido como “El Insurgente” generó un impacto en el mercado inmobiliario de la región al estimular interés creciente por las zonas residenciales cercanas a su trayecto.</w:t>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En un análisis de </w:t>
      </w:r>
      <w:hyperlink r:id="rId8">
        <w:r w:rsidDel="00000000" w:rsidR="00000000" w:rsidRPr="00000000">
          <w:rPr>
            <w:rFonts w:ascii="Calibri" w:cs="Calibri" w:eastAsia="Calibri" w:hAnsi="Calibri"/>
            <w:b w:val="1"/>
            <w:i w:val="0"/>
            <w:strike w:val="0"/>
            <w:color w:val="1155cc"/>
            <w:sz w:val="22"/>
            <w:szCs w:val="22"/>
            <w:u w:val="single"/>
            <w:rtl w:val="0"/>
          </w:rPr>
          <w:t xml:space="preserve">Mercado Libre Inmuebles</w:t>
        </w:r>
      </w:hyperlink>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se reveló que las búsquedas de propiedades durante octubre, un mes después de la inauguración del tren, se centr</w:t>
      </w:r>
      <w:r w:rsidDel="00000000" w:rsidR="00000000" w:rsidRPr="00000000">
        <w:rPr>
          <w:rtl w:val="0"/>
        </w:rPr>
        <w:t xml:space="preserve">aron</w:t>
      </w:r>
      <w:r w:rsidDel="00000000" w:rsidR="00000000" w:rsidRPr="00000000">
        <w:rPr>
          <w:rFonts w:ascii="Calibri" w:cs="Calibri" w:eastAsia="Calibri" w:hAnsi="Calibri"/>
          <w:b w:val="0"/>
          <w:i w:val="0"/>
          <w:strike w:val="0"/>
          <w:color w:val="000000"/>
          <w:sz w:val="22"/>
          <w:szCs w:val="22"/>
          <w:u w:val="none"/>
          <w:rtl w:val="0"/>
        </w:rPr>
        <w:t xml:space="preserve"> en colonias vecinas al recorrido del tren como: San Mateo Otzacatipan, Valle Don Camilo, San Pedro Totoltepec, Azteca y Cacalomacán. Este hallazgo podría indicar </w:t>
      </w:r>
      <w:r w:rsidDel="00000000" w:rsidR="00000000" w:rsidRPr="00000000">
        <w:rPr>
          <w:rtl w:val="0"/>
        </w:rPr>
        <w:t xml:space="preserve">el impacto en la facilidad de traslado que ahora tendrán </w:t>
      </w:r>
      <w:r w:rsidDel="00000000" w:rsidR="00000000" w:rsidRPr="00000000">
        <w:rPr>
          <w:rtl w:val="0"/>
        </w:rPr>
        <w:t xml:space="preserve">las comunidades de estas colonias.</w:t>
      </w:r>
    </w:p>
    <w:p w:rsidR="00000000" w:rsidDel="00000000" w:rsidP="00000000" w:rsidRDefault="00000000" w:rsidRPr="00000000" w14:paraId="0000000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 tendencia </w:t>
      </w:r>
      <w:r w:rsidDel="00000000" w:rsidR="00000000" w:rsidRPr="00000000">
        <w:rPr>
          <w:rtl w:val="0"/>
        </w:rPr>
        <w:t xml:space="preserve">señala </w:t>
      </w:r>
      <w:r w:rsidDel="00000000" w:rsidR="00000000" w:rsidRPr="00000000">
        <w:rPr>
          <w:rFonts w:ascii="Calibri" w:cs="Calibri" w:eastAsia="Calibri" w:hAnsi="Calibri"/>
          <w:b w:val="0"/>
          <w:i w:val="0"/>
          <w:strike w:val="0"/>
          <w:color w:val="000000"/>
          <w:sz w:val="22"/>
          <w:szCs w:val="22"/>
          <w:u w:val="none"/>
          <w:rtl w:val="0"/>
        </w:rPr>
        <w:t xml:space="preserve">un posible desarrollo habitacional y comercial en este entorno. El Gobierno estima que el Tren Interurbano tendrá hasta 230 mil usuarios diarios, por lo que se prevé una transformación en el tejido urbano que puede llevar al incremento de la plusvalía y, a mediano plazo, se </w:t>
      </w:r>
      <w:r w:rsidDel="00000000" w:rsidR="00000000" w:rsidRPr="00000000">
        <w:rPr>
          <w:rFonts w:ascii="Calibri" w:cs="Calibri" w:eastAsia="Calibri" w:hAnsi="Calibri"/>
          <w:b w:val="0"/>
          <w:i w:val="0"/>
          <w:strike w:val="0"/>
          <w:color w:val="000000"/>
          <w:sz w:val="22"/>
          <w:szCs w:val="22"/>
          <w:u w:val="none"/>
          <w:rtl w:val="0"/>
        </w:rPr>
        <w:t xml:space="preserve">revalorizarán</w:t>
      </w:r>
      <w:r w:rsidDel="00000000" w:rsidR="00000000" w:rsidRPr="00000000">
        <w:rPr>
          <w:rFonts w:ascii="Calibri" w:cs="Calibri" w:eastAsia="Calibri" w:hAnsi="Calibri"/>
          <w:b w:val="0"/>
          <w:i w:val="0"/>
          <w:strike w:val="0"/>
          <w:color w:val="000000"/>
          <w:sz w:val="22"/>
          <w:szCs w:val="22"/>
          <w:u w:val="none"/>
          <w:rtl w:val="0"/>
        </w:rPr>
        <w:t xml:space="preserve"> estas zonas residenciales de los habitantes locales, quienes buscan rentabilizar sus propiedades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En términos de precios, la plataforma amarilla categorizó las tarifas actuales de venta y renta más actuales en viviendas de las colonias más buscadas que quedaron de la siguiente manera: </w:t>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E">
      <w:pPr>
        <w:spacing w:after="0" w:before="0" w:lineRule="auto"/>
        <w:ind w:left="-20" w:right="-20" w:firstLine="0"/>
        <w:jc w:val="cente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VENTA</w:t>
      </w:r>
      <w:r w:rsidDel="00000000" w:rsidR="00000000" w:rsidRPr="00000000">
        <w:rPr>
          <w:rtl w:val="0"/>
        </w:rPr>
      </w:r>
    </w:p>
    <w:tbl>
      <w:tblPr>
        <w:tblStyle w:val="Table1"/>
        <w:tblW w:w="64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10"/>
        <w:gridCol w:w="1845"/>
        <w:gridCol w:w="2040"/>
        <w:tblGridChange w:id="0">
          <w:tblGrid>
            <w:gridCol w:w="2610"/>
            <w:gridCol w:w="1845"/>
            <w:gridCol w:w="2040"/>
          </w:tblGrid>
        </w:tblGridChange>
      </w:tblGrid>
      <w:tr>
        <w:trPr>
          <w:cantSplit w:val="0"/>
          <w:trHeight w:val="300" w:hRule="atLeast"/>
          <w:tblHeader w:val="0"/>
        </w:trPr>
        <w:tc>
          <w:tcPr/>
          <w:p w:rsidR="00000000" w:rsidDel="00000000" w:rsidP="00000000" w:rsidRDefault="00000000" w:rsidRPr="00000000" w14:paraId="0000000F">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COLONIA</w:t>
            </w:r>
          </w:p>
        </w:tc>
        <w:tc>
          <w:tcPr/>
          <w:p w:rsidR="00000000" w:rsidDel="00000000" w:rsidP="00000000" w:rsidRDefault="00000000" w:rsidRPr="00000000" w14:paraId="00000010">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PRECIO MÍNIMO</w:t>
            </w:r>
          </w:p>
        </w:tc>
        <w:tc>
          <w:tcPr/>
          <w:p w:rsidR="00000000" w:rsidDel="00000000" w:rsidP="00000000" w:rsidRDefault="00000000" w:rsidRPr="00000000" w14:paraId="00000011">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PRECIO MÁXIMO</w:t>
            </w:r>
          </w:p>
        </w:tc>
      </w:tr>
      <w:tr>
        <w:trPr>
          <w:cantSplit w:val="0"/>
          <w:trHeight w:val="300" w:hRule="atLeast"/>
          <w:tblHeader w:val="0"/>
        </w:trPr>
        <w:tc>
          <w:tcPr/>
          <w:p w:rsidR="00000000" w:rsidDel="00000000" w:rsidP="00000000" w:rsidRDefault="00000000" w:rsidRPr="00000000" w14:paraId="00000012">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San Mateo Otzacatipan</w:t>
            </w:r>
          </w:p>
        </w:tc>
        <w:tc>
          <w:tcPr/>
          <w:p w:rsidR="00000000" w:rsidDel="00000000" w:rsidP="00000000" w:rsidRDefault="00000000" w:rsidRPr="00000000" w14:paraId="00000013">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$817,000</w:t>
            </w:r>
          </w:p>
        </w:tc>
        <w:tc>
          <w:tcPr/>
          <w:p w:rsidR="00000000" w:rsidDel="00000000" w:rsidP="00000000" w:rsidRDefault="00000000" w:rsidRPr="00000000" w14:paraId="00000014">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$12,500,000</w:t>
            </w:r>
          </w:p>
        </w:tc>
      </w:tr>
      <w:tr>
        <w:trPr>
          <w:cantSplit w:val="0"/>
          <w:trHeight w:val="300" w:hRule="atLeast"/>
          <w:tblHeader w:val="0"/>
        </w:trPr>
        <w:tc>
          <w:tcPr/>
          <w:p w:rsidR="00000000" w:rsidDel="00000000" w:rsidP="00000000" w:rsidRDefault="00000000" w:rsidRPr="00000000" w14:paraId="00000015">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Valle Don Camilo</w:t>
            </w:r>
          </w:p>
        </w:tc>
        <w:tc>
          <w:tcPr/>
          <w:p w:rsidR="00000000" w:rsidDel="00000000" w:rsidP="00000000" w:rsidRDefault="00000000" w:rsidRPr="00000000" w14:paraId="00000016">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$925,000</w:t>
            </w:r>
          </w:p>
        </w:tc>
        <w:tc>
          <w:tcPr/>
          <w:p w:rsidR="00000000" w:rsidDel="00000000" w:rsidP="00000000" w:rsidRDefault="00000000" w:rsidRPr="00000000" w14:paraId="00000017">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$2,553,000</w:t>
            </w:r>
          </w:p>
        </w:tc>
      </w:tr>
      <w:tr>
        <w:trPr>
          <w:cantSplit w:val="0"/>
          <w:trHeight w:val="300" w:hRule="atLeast"/>
          <w:tblHeader w:val="0"/>
        </w:trPr>
        <w:tc>
          <w:tcPr/>
          <w:p w:rsidR="00000000" w:rsidDel="00000000" w:rsidP="00000000" w:rsidRDefault="00000000" w:rsidRPr="00000000" w14:paraId="00000018">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San Pedro Totoltepec</w:t>
            </w:r>
          </w:p>
        </w:tc>
        <w:tc>
          <w:tcPr/>
          <w:p w:rsidR="00000000" w:rsidDel="00000000" w:rsidP="00000000" w:rsidRDefault="00000000" w:rsidRPr="00000000" w14:paraId="00000019">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$985,000</w:t>
            </w:r>
          </w:p>
        </w:tc>
        <w:tc>
          <w:tcPr/>
          <w:p w:rsidR="00000000" w:rsidDel="00000000" w:rsidP="00000000" w:rsidRDefault="00000000" w:rsidRPr="00000000" w14:paraId="0000001A">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$3,052,350</w:t>
            </w:r>
          </w:p>
        </w:tc>
      </w:tr>
      <w:tr>
        <w:trPr>
          <w:cantSplit w:val="0"/>
          <w:trHeight w:val="300" w:hRule="atLeast"/>
          <w:tblHeader w:val="0"/>
        </w:trPr>
        <w:tc>
          <w:tcPr/>
          <w:p w:rsidR="00000000" w:rsidDel="00000000" w:rsidP="00000000" w:rsidRDefault="00000000" w:rsidRPr="00000000" w14:paraId="0000001B">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Azteca</w:t>
            </w:r>
          </w:p>
        </w:tc>
        <w:tc>
          <w:tcPr/>
          <w:p w:rsidR="00000000" w:rsidDel="00000000" w:rsidP="00000000" w:rsidRDefault="00000000" w:rsidRPr="00000000" w14:paraId="0000001C">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$225,000</w:t>
            </w:r>
          </w:p>
        </w:tc>
        <w:tc>
          <w:tcPr/>
          <w:p w:rsidR="00000000" w:rsidDel="00000000" w:rsidP="00000000" w:rsidRDefault="00000000" w:rsidRPr="00000000" w14:paraId="0000001D">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$720,000</w:t>
            </w:r>
          </w:p>
        </w:tc>
      </w:tr>
      <w:tr>
        <w:trPr>
          <w:cantSplit w:val="0"/>
          <w:trHeight w:val="300" w:hRule="atLeast"/>
          <w:tblHeader w:val="0"/>
        </w:trPr>
        <w:tc>
          <w:tcPr/>
          <w:p w:rsidR="00000000" w:rsidDel="00000000" w:rsidP="00000000" w:rsidRDefault="00000000" w:rsidRPr="00000000" w14:paraId="0000001E">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Cacalomacán</w:t>
            </w:r>
          </w:p>
        </w:tc>
        <w:tc>
          <w:tcPr/>
          <w:p w:rsidR="00000000" w:rsidDel="00000000" w:rsidP="00000000" w:rsidRDefault="00000000" w:rsidRPr="00000000" w14:paraId="0000001F">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$870,000</w:t>
            </w:r>
          </w:p>
        </w:tc>
        <w:tc>
          <w:tcPr/>
          <w:p w:rsidR="00000000" w:rsidDel="00000000" w:rsidP="00000000" w:rsidRDefault="00000000" w:rsidRPr="00000000" w14:paraId="00000020">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$1,500,000</w:t>
            </w:r>
          </w:p>
        </w:tc>
      </w:tr>
    </w:tbl>
    <w:p w:rsidR="00000000" w:rsidDel="00000000" w:rsidP="00000000" w:rsidRDefault="00000000" w:rsidRPr="00000000" w14:paraId="00000021">
      <w:pPr>
        <w:spacing w:after="0" w:before="0" w:lineRule="auto"/>
        <w:ind w:left="-20" w:right="-20" w:firstLine="0"/>
        <w:jc w:val="center"/>
        <w:rPr>
          <w:b w:val="1"/>
        </w:rPr>
      </w:pPr>
      <w:r w:rsidDel="00000000" w:rsidR="00000000" w:rsidRPr="00000000">
        <w:rPr>
          <w:rtl w:val="0"/>
        </w:rPr>
      </w:r>
    </w:p>
    <w:p w:rsidR="00000000" w:rsidDel="00000000" w:rsidP="00000000" w:rsidRDefault="00000000" w:rsidRPr="00000000" w14:paraId="00000022">
      <w:pPr>
        <w:spacing w:after="0" w:before="0" w:lineRule="auto"/>
        <w:ind w:left="-20" w:right="-20" w:firstLine="0"/>
        <w:jc w:val="cente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RENTA</w:t>
      </w:r>
    </w:p>
    <w:tbl>
      <w:tblPr>
        <w:tblStyle w:val="Table2"/>
        <w:tblW w:w="64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10"/>
        <w:gridCol w:w="1845"/>
        <w:gridCol w:w="2040"/>
        <w:tblGridChange w:id="0">
          <w:tblGrid>
            <w:gridCol w:w="2610"/>
            <w:gridCol w:w="1845"/>
            <w:gridCol w:w="2040"/>
          </w:tblGrid>
        </w:tblGridChange>
      </w:tblGrid>
      <w:tr>
        <w:trPr>
          <w:cantSplit w:val="0"/>
          <w:trHeight w:val="300" w:hRule="atLeast"/>
          <w:tblHeader w:val="0"/>
        </w:trPr>
        <w:tc>
          <w:tcPr/>
          <w:p w:rsidR="00000000" w:rsidDel="00000000" w:rsidP="00000000" w:rsidRDefault="00000000" w:rsidRPr="00000000" w14:paraId="00000023">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COLONIA</w:t>
            </w:r>
          </w:p>
        </w:tc>
        <w:tc>
          <w:tcPr/>
          <w:p w:rsidR="00000000" w:rsidDel="00000000" w:rsidP="00000000" w:rsidRDefault="00000000" w:rsidRPr="00000000" w14:paraId="00000024">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PRECIO MÍNIMO</w:t>
            </w:r>
          </w:p>
        </w:tc>
        <w:tc>
          <w:tcPr/>
          <w:p w:rsidR="00000000" w:rsidDel="00000000" w:rsidP="00000000" w:rsidRDefault="00000000" w:rsidRPr="00000000" w14:paraId="00000025">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PRECIO MÁXIMO</w:t>
            </w:r>
          </w:p>
        </w:tc>
      </w:tr>
      <w:tr>
        <w:trPr>
          <w:cantSplit w:val="0"/>
          <w:trHeight w:val="300" w:hRule="atLeast"/>
          <w:tblHeader w:val="0"/>
        </w:trPr>
        <w:tc>
          <w:tcPr/>
          <w:p w:rsidR="00000000" w:rsidDel="00000000" w:rsidP="00000000" w:rsidRDefault="00000000" w:rsidRPr="00000000" w14:paraId="00000026">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San Mateo Otzacatipan</w:t>
            </w:r>
          </w:p>
        </w:tc>
        <w:tc>
          <w:tcPr/>
          <w:p w:rsidR="00000000" w:rsidDel="00000000" w:rsidP="00000000" w:rsidRDefault="00000000" w:rsidRPr="00000000" w14:paraId="00000027">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$6,500</w:t>
            </w:r>
          </w:p>
        </w:tc>
        <w:tc>
          <w:tcPr/>
          <w:p w:rsidR="00000000" w:rsidDel="00000000" w:rsidP="00000000" w:rsidRDefault="00000000" w:rsidRPr="00000000" w14:paraId="00000028">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$17,000</w:t>
            </w:r>
          </w:p>
        </w:tc>
      </w:tr>
      <w:tr>
        <w:trPr>
          <w:cantSplit w:val="0"/>
          <w:trHeight w:val="300" w:hRule="atLeast"/>
          <w:tblHeader w:val="0"/>
        </w:trPr>
        <w:tc>
          <w:tcPr/>
          <w:p w:rsidR="00000000" w:rsidDel="00000000" w:rsidP="00000000" w:rsidRDefault="00000000" w:rsidRPr="00000000" w14:paraId="00000029">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Valle Don Camilo</w:t>
            </w:r>
          </w:p>
        </w:tc>
        <w:tc>
          <w:tcPr/>
          <w:p w:rsidR="00000000" w:rsidDel="00000000" w:rsidP="00000000" w:rsidRDefault="00000000" w:rsidRPr="00000000" w14:paraId="0000002A">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$14,000</w:t>
            </w:r>
          </w:p>
        </w:tc>
        <w:tc>
          <w:tcPr/>
          <w:p w:rsidR="00000000" w:rsidDel="00000000" w:rsidP="00000000" w:rsidRDefault="00000000" w:rsidRPr="00000000" w14:paraId="0000002B">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$18,000  </w:t>
            </w:r>
          </w:p>
        </w:tc>
      </w:tr>
      <w:tr>
        <w:trPr>
          <w:cantSplit w:val="0"/>
          <w:trHeight w:val="300" w:hRule="atLeast"/>
          <w:tblHeader w:val="0"/>
        </w:trPr>
        <w:tc>
          <w:tcPr/>
          <w:p w:rsidR="00000000" w:rsidDel="00000000" w:rsidP="00000000" w:rsidRDefault="00000000" w:rsidRPr="00000000" w14:paraId="0000002C">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San Pedro Totoltepec</w:t>
            </w:r>
          </w:p>
        </w:tc>
        <w:tc>
          <w:tcPr/>
          <w:p w:rsidR="00000000" w:rsidDel="00000000" w:rsidP="00000000" w:rsidRDefault="00000000" w:rsidRPr="00000000" w14:paraId="0000002D">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$5,000</w:t>
            </w:r>
          </w:p>
        </w:tc>
        <w:tc>
          <w:tcPr/>
          <w:p w:rsidR="00000000" w:rsidDel="00000000" w:rsidP="00000000" w:rsidRDefault="00000000" w:rsidRPr="00000000" w14:paraId="0000002E">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$12,500  </w:t>
            </w:r>
          </w:p>
        </w:tc>
      </w:tr>
      <w:tr>
        <w:trPr>
          <w:cantSplit w:val="0"/>
          <w:trHeight w:val="300" w:hRule="atLeast"/>
          <w:tblHeader w:val="0"/>
        </w:trPr>
        <w:tc>
          <w:tcPr/>
          <w:p w:rsidR="00000000" w:rsidDel="00000000" w:rsidP="00000000" w:rsidRDefault="00000000" w:rsidRPr="00000000" w14:paraId="0000002F">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Azteca</w:t>
            </w:r>
          </w:p>
        </w:tc>
        <w:tc>
          <w:tcPr/>
          <w:p w:rsidR="00000000" w:rsidDel="00000000" w:rsidP="00000000" w:rsidRDefault="00000000" w:rsidRPr="00000000" w14:paraId="00000030">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$11,000</w:t>
            </w:r>
          </w:p>
        </w:tc>
        <w:tc>
          <w:tcPr/>
          <w:p w:rsidR="00000000" w:rsidDel="00000000" w:rsidP="00000000" w:rsidRDefault="00000000" w:rsidRPr="00000000" w14:paraId="00000031">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$39,900  </w:t>
            </w:r>
          </w:p>
        </w:tc>
      </w:tr>
      <w:tr>
        <w:trPr>
          <w:cantSplit w:val="0"/>
          <w:trHeight w:val="300" w:hRule="atLeast"/>
          <w:tblHeader w:val="0"/>
        </w:trPr>
        <w:tc>
          <w:tcPr/>
          <w:p w:rsidR="00000000" w:rsidDel="00000000" w:rsidP="00000000" w:rsidRDefault="00000000" w:rsidRPr="00000000" w14:paraId="00000032">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Cacalomacán</w:t>
            </w:r>
          </w:p>
        </w:tc>
        <w:tc>
          <w:tcPr/>
          <w:p w:rsidR="00000000" w:rsidDel="00000000" w:rsidP="00000000" w:rsidRDefault="00000000" w:rsidRPr="00000000" w14:paraId="00000033">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$6,000</w:t>
            </w:r>
          </w:p>
        </w:tc>
        <w:tc>
          <w:tcPr/>
          <w:p w:rsidR="00000000" w:rsidDel="00000000" w:rsidP="00000000" w:rsidRDefault="00000000" w:rsidRPr="00000000" w14:paraId="00000034">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$9,000</w:t>
            </w:r>
          </w:p>
        </w:tc>
      </w:tr>
    </w:tbl>
    <w:p w:rsidR="00000000" w:rsidDel="00000000" w:rsidP="00000000" w:rsidRDefault="00000000" w:rsidRPr="00000000" w14:paraId="0000003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3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Para obtener </w:t>
      </w:r>
      <w:r w:rsidDel="00000000" w:rsidR="00000000" w:rsidRPr="00000000">
        <w:rPr>
          <w:rtl w:val="0"/>
        </w:rPr>
        <w:t xml:space="preserve">este </w:t>
      </w:r>
      <w:r w:rsidDel="00000000" w:rsidR="00000000" w:rsidRPr="00000000">
        <w:rPr>
          <w:rFonts w:ascii="Calibri" w:cs="Calibri" w:eastAsia="Calibri" w:hAnsi="Calibri"/>
          <w:b w:val="0"/>
          <w:i w:val="0"/>
          <w:strike w:val="0"/>
          <w:color w:val="000000"/>
          <w:sz w:val="22"/>
          <w:szCs w:val="22"/>
          <w:u w:val="none"/>
          <w:rtl w:val="0"/>
        </w:rPr>
        <w:t xml:space="preserve">análisis sobre el efecto del Tren Interurbano en el mercado inmobiliario de Toluca, Mercado Libre se apoya en su liderazgo en la compra, venta y renta de inmuebles. Al ser uno de los portales con sección inmobiliaria con más credibilidad en el mercado, han captado un alto volumen de datos sobre las tendencias de búsqueda, precios y transacciones en tiempo real, lo cual le permite detectar patrones y comportamientos emergentes en diferentes zonas del país.</w:t>
      </w:r>
    </w:p>
    <w:p w:rsidR="00000000" w:rsidDel="00000000" w:rsidP="00000000" w:rsidRDefault="00000000" w:rsidRPr="00000000" w14:paraId="0000003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3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Mercado Libre se </w:t>
      </w:r>
      <w:r w:rsidDel="00000000" w:rsidR="00000000" w:rsidRPr="00000000">
        <w:rPr>
          <w:rtl w:val="0"/>
        </w:rPr>
        <w:t xml:space="preserve">h</w:t>
      </w:r>
      <w:r w:rsidDel="00000000" w:rsidR="00000000" w:rsidRPr="00000000">
        <w:rPr>
          <w:rFonts w:ascii="Calibri" w:cs="Calibri" w:eastAsia="Calibri" w:hAnsi="Calibri"/>
          <w:b w:val="0"/>
          <w:i w:val="0"/>
          <w:strike w:val="0"/>
          <w:color w:val="000000"/>
          <w:sz w:val="22"/>
          <w:szCs w:val="22"/>
          <w:u w:val="none"/>
          <w:rtl w:val="0"/>
        </w:rPr>
        <w:t xml:space="preserve">a consolidado como una referencia en el negocio inmobiliario no sólo por la variedad </w:t>
      </w:r>
      <w:r w:rsidDel="00000000" w:rsidR="00000000" w:rsidRPr="00000000">
        <w:rPr>
          <w:rtl w:val="0"/>
        </w:rPr>
        <w:t xml:space="preserve">en </w:t>
      </w:r>
      <w:r w:rsidDel="00000000" w:rsidR="00000000" w:rsidRPr="00000000">
        <w:rPr>
          <w:rFonts w:ascii="Calibri" w:cs="Calibri" w:eastAsia="Calibri" w:hAnsi="Calibri"/>
          <w:b w:val="0"/>
          <w:i w:val="0"/>
          <w:strike w:val="0"/>
          <w:color w:val="000000"/>
          <w:sz w:val="22"/>
          <w:szCs w:val="22"/>
          <w:u w:val="none"/>
          <w:rtl w:val="0"/>
        </w:rPr>
        <w:t xml:space="preserve">su oferta de propiedades, sino también gracias a sus herramientas avanzadas de seguridad, como la verificación continua de vendedores. El marketplace brinda una experiencia confiable que </w:t>
      </w:r>
      <w:r w:rsidDel="00000000" w:rsidR="00000000" w:rsidRPr="00000000">
        <w:rPr>
          <w:rtl w:val="0"/>
        </w:rPr>
        <w:t xml:space="preserve">ayuda a elegir un inmueble sin riesgos y </w:t>
      </w:r>
      <w:r w:rsidDel="00000000" w:rsidR="00000000" w:rsidRPr="00000000">
        <w:rPr>
          <w:rFonts w:ascii="Calibri" w:cs="Calibri" w:eastAsia="Calibri" w:hAnsi="Calibri"/>
          <w:b w:val="0"/>
          <w:i w:val="0"/>
          <w:strike w:val="0"/>
          <w:color w:val="000000"/>
          <w:sz w:val="22"/>
          <w:szCs w:val="22"/>
          <w:u w:val="none"/>
          <w:rtl w:val="0"/>
        </w:rPr>
        <w:t xml:space="preserve">garantiza la protección del dinero de sus usuarios.</w:t>
      </w:r>
    </w:p>
    <w:p w:rsidR="00000000" w:rsidDel="00000000" w:rsidP="00000000" w:rsidRDefault="00000000" w:rsidRPr="00000000" w14:paraId="00000039">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3A">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3B">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3C">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3D">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3E">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c/inmueb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90kZh1wNXZE/PfYfo9FT5YQ==">CgMxLjA4AHIhMVdYaDdfUl94R0dVaGVDRG1iTmdJa2d0NXdUYXEzRWJE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